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D926EE" w14:textId="77777777" w:rsidR="00422DF7" w:rsidRDefault="00422DF7" w:rsidP="00422DF7">
      <w:pPr>
        <w:rPr>
          <w:lang w:val="en-US"/>
        </w:rPr>
      </w:pPr>
      <w:bookmarkStart w:id="0" w:name="_GoBack"/>
      <w:bookmarkEnd w:id="0"/>
    </w:p>
    <w:p w14:paraId="114B0EC6" w14:textId="77777777" w:rsidR="00422DF7" w:rsidRDefault="00422DF7" w:rsidP="00422DF7">
      <w:pPr>
        <w:rPr>
          <w:lang w:val="en-US"/>
        </w:rPr>
      </w:pPr>
    </w:p>
    <w:p w14:paraId="33B95EA0" w14:textId="77777777" w:rsidR="00422DF7" w:rsidRDefault="00422DF7" w:rsidP="00422DF7">
      <w:pPr>
        <w:rPr>
          <w:lang w:val="en-US"/>
        </w:rPr>
      </w:pPr>
    </w:p>
    <w:p w14:paraId="06D2960C" w14:textId="77777777" w:rsidR="00422DF7" w:rsidRDefault="00422DF7" w:rsidP="00422DF7">
      <w:pPr>
        <w:rPr>
          <w:lang w:val="en-US"/>
        </w:rPr>
      </w:pPr>
    </w:p>
    <w:p w14:paraId="5266E32D" w14:textId="77777777" w:rsidR="00422DF7" w:rsidRDefault="00422DF7" w:rsidP="00422DF7">
      <w:pPr>
        <w:rPr>
          <w:lang w:val="en-US"/>
        </w:rPr>
      </w:pPr>
    </w:p>
    <w:p w14:paraId="5E863D17" w14:textId="77777777" w:rsidR="00422DF7" w:rsidRDefault="00422DF7" w:rsidP="00422DF7">
      <w:pPr>
        <w:rPr>
          <w:lang w:val="en-US"/>
        </w:rPr>
      </w:pPr>
    </w:p>
    <w:p w14:paraId="35401C97" w14:textId="77777777" w:rsidR="00422DF7" w:rsidRDefault="00422DF7" w:rsidP="00422DF7">
      <w:pPr>
        <w:rPr>
          <w:lang w:val="en-US"/>
        </w:rPr>
      </w:pPr>
    </w:p>
    <w:p w14:paraId="40CD277F" w14:textId="67BF2F23" w:rsidR="00422DF7" w:rsidRDefault="00422DF7" w:rsidP="00422DF7">
      <w:pPr>
        <w:rPr>
          <w:lang w:val="en-US"/>
        </w:rPr>
      </w:pPr>
    </w:p>
    <w:p w14:paraId="2C80361F" w14:textId="4DA90606" w:rsidR="00422DF7" w:rsidRDefault="00422DF7" w:rsidP="00422DF7">
      <w:pPr>
        <w:rPr>
          <w:lang w:val="en-US"/>
        </w:rPr>
      </w:pPr>
    </w:p>
    <w:p w14:paraId="6858E7F3" w14:textId="77777777" w:rsidR="00422DF7" w:rsidRDefault="00422DF7" w:rsidP="00422DF7">
      <w:pPr>
        <w:rPr>
          <w:lang w:val="en-US"/>
        </w:rPr>
      </w:pPr>
    </w:p>
    <w:p w14:paraId="1E70C280" w14:textId="77777777" w:rsidR="00422DF7" w:rsidRDefault="00422DF7" w:rsidP="00422DF7">
      <w:pPr>
        <w:rPr>
          <w:lang w:val="en-US"/>
        </w:rPr>
      </w:pPr>
    </w:p>
    <w:p w14:paraId="146B1D72" w14:textId="77777777" w:rsidR="00422DF7" w:rsidRDefault="00422DF7" w:rsidP="00422DF7">
      <w:pPr>
        <w:rPr>
          <w:lang w:val="en-US"/>
        </w:rPr>
      </w:pPr>
    </w:p>
    <w:p w14:paraId="1FCBEE28" w14:textId="77777777" w:rsidR="00422DF7" w:rsidRDefault="00422DF7" w:rsidP="00422DF7">
      <w:pPr>
        <w:jc w:val="center"/>
        <w:rPr>
          <w:lang w:val="en-US"/>
        </w:rPr>
      </w:pPr>
    </w:p>
    <w:p w14:paraId="54086D7E" w14:textId="4D0F871D" w:rsidR="00422DF7" w:rsidRDefault="00A77ADB" w:rsidP="00422DF7">
      <w:pPr>
        <w:jc w:val="center"/>
        <w:rPr>
          <w:lang w:val="en-US"/>
        </w:rPr>
      </w:pPr>
      <w:r w:rsidRPr="00422DF7">
        <w:rPr>
          <w:lang w:val="en-US"/>
        </w:rPr>
        <w:t>Forensic Risk Management</w:t>
      </w:r>
    </w:p>
    <w:p w14:paraId="6E993F58" w14:textId="540F266F" w:rsidR="00422DF7" w:rsidRDefault="00A77ADB" w:rsidP="00422DF7">
      <w:pPr>
        <w:jc w:val="center"/>
        <w:rPr>
          <w:lang w:val="en-US"/>
        </w:rPr>
      </w:pPr>
      <w:r>
        <w:rPr>
          <w:lang w:val="en-US"/>
        </w:rPr>
        <w:t>Name</w:t>
      </w:r>
    </w:p>
    <w:p w14:paraId="10D85764" w14:textId="64425DCB" w:rsidR="00422DF7" w:rsidRDefault="00A77ADB" w:rsidP="00422DF7">
      <w:pPr>
        <w:jc w:val="center"/>
        <w:rPr>
          <w:lang w:val="en-US"/>
        </w:rPr>
      </w:pPr>
      <w:r>
        <w:rPr>
          <w:lang w:val="en-US"/>
        </w:rPr>
        <w:t>Institution</w:t>
      </w:r>
    </w:p>
    <w:p w14:paraId="35B12C99" w14:textId="77777777" w:rsidR="00422DF7" w:rsidRDefault="00422DF7" w:rsidP="00422DF7">
      <w:pPr>
        <w:rPr>
          <w:lang w:val="en-US"/>
        </w:rPr>
      </w:pPr>
    </w:p>
    <w:p w14:paraId="10661619" w14:textId="77777777" w:rsidR="00422DF7" w:rsidRDefault="00422DF7" w:rsidP="00422DF7">
      <w:pPr>
        <w:rPr>
          <w:lang w:val="en-US"/>
        </w:rPr>
      </w:pPr>
    </w:p>
    <w:p w14:paraId="0C35CF8D" w14:textId="77777777" w:rsidR="00422DF7" w:rsidRDefault="00422DF7" w:rsidP="00422DF7">
      <w:pPr>
        <w:rPr>
          <w:lang w:val="en-US"/>
        </w:rPr>
      </w:pPr>
    </w:p>
    <w:p w14:paraId="3EFBD8AE" w14:textId="35C731F7" w:rsidR="00422DF7" w:rsidRDefault="00422DF7" w:rsidP="00422DF7">
      <w:pPr>
        <w:rPr>
          <w:lang w:val="en-US"/>
        </w:rPr>
      </w:pPr>
    </w:p>
    <w:p w14:paraId="35D49EA8" w14:textId="38D76946" w:rsidR="00422DF7" w:rsidRDefault="00422DF7" w:rsidP="00422DF7">
      <w:pPr>
        <w:rPr>
          <w:lang w:val="en-US"/>
        </w:rPr>
      </w:pPr>
    </w:p>
    <w:p w14:paraId="3AEE7EE4" w14:textId="6A86D036" w:rsidR="00422DF7" w:rsidRDefault="00422DF7" w:rsidP="00422DF7">
      <w:pPr>
        <w:rPr>
          <w:lang w:val="en-US"/>
        </w:rPr>
      </w:pPr>
    </w:p>
    <w:p w14:paraId="50EE8A39" w14:textId="6A39880B" w:rsidR="00422DF7" w:rsidRDefault="00422DF7" w:rsidP="00422DF7">
      <w:pPr>
        <w:rPr>
          <w:lang w:val="en-US"/>
        </w:rPr>
      </w:pPr>
    </w:p>
    <w:p w14:paraId="3C24F7F2" w14:textId="7148D29B" w:rsidR="00422DF7" w:rsidRDefault="00422DF7" w:rsidP="00422DF7">
      <w:pPr>
        <w:rPr>
          <w:lang w:val="en-US"/>
        </w:rPr>
      </w:pPr>
    </w:p>
    <w:p w14:paraId="11C48065" w14:textId="3A7E4E60" w:rsidR="00422DF7" w:rsidRDefault="00422DF7" w:rsidP="00422DF7">
      <w:pPr>
        <w:rPr>
          <w:lang w:val="en-US"/>
        </w:rPr>
      </w:pPr>
    </w:p>
    <w:p w14:paraId="1A918EBF" w14:textId="5D1DEF01" w:rsidR="00422DF7" w:rsidRDefault="00422DF7" w:rsidP="00422DF7">
      <w:pPr>
        <w:rPr>
          <w:lang w:val="en-US"/>
        </w:rPr>
      </w:pPr>
    </w:p>
    <w:p w14:paraId="6066ED5A" w14:textId="67AC766D" w:rsidR="00422DF7" w:rsidRDefault="00422DF7" w:rsidP="00422DF7">
      <w:pPr>
        <w:rPr>
          <w:lang w:val="en-US"/>
        </w:rPr>
      </w:pPr>
    </w:p>
    <w:p w14:paraId="5E48208B" w14:textId="10155262" w:rsidR="00422DF7" w:rsidRDefault="00422DF7" w:rsidP="00422DF7">
      <w:pPr>
        <w:rPr>
          <w:lang w:val="en-US"/>
        </w:rPr>
      </w:pPr>
    </w:p>
    <w:p w14:paraId="1D0643EF" w14:textId="1468E27F" w:rsidR="00422DF7" w:rsidRDefault="00422DF7" w:rsidP="00422DF7">
      <w:pPr>
        <w:rPr>
          <w:lang w:val="en-US"/>
        </w:rPr>
      </w:pPr>
    </w:p>
    <w:p w14:paraId="16C5DE3B" w14:textId="77777777" w:rsidR="00422DF7" w:rsidRDefault="00422DF7" w:rsidP="00422DF7">
      <w:pPr>
        <w:rPr>
          <w:lang w:val="en-US"/>
        </w:rPr>
      </w:pPr>
    </w:p>
    <w:p w14:paraId="1D219FA6" w14:textId="0768150A" w:rsidR="00422DF7" w:rsidRPr="00422DF7" w:rsidRDefault="00A77ADB" w:rsidP="005F18E4">
      <w:pPr>
        <w:spacing w:line="480" w:lineRule="auto"/>
        <w:jc w:val="both"/>
        <w:rPr>
          <w:lang w:val="en-US"/>
        </w:rPr>
      </w:pPr>
      <w:r w:rsidRPr="00422DF7">
        <w:rPr>
          <w:lang w:val="en-US"/>
        </w:rPr>
        <w:lastRenderedPageBreak/>
        <w:t>Based on the principles of the forensic risk assessment, discuss the risks not only to the inmate but the community at large.</w:t>
      </w:r>
    </w:p>
    <w:p w14:paraId="74CA6A21" w14:textId="75552726" w:rsidR="005F18E4" w:rsidRPr="005F18E4" w:rsidRDefault="00A77ADB" w:rsidP="005F18E4">
      <w:pPr>
        <w:spacing w:line="480" w:lineRule="auto"/>
        <w:ind w:firstLine="720"/>
        <w:jc w:val="both"/>
        <w:rPr>
          <w:lang w:val="en-US"/>
        </w:rPr>
      </w:pPr>
      <w:r>
        <w:rPr>
          <w:lang w:val="en-US"/>
        </w:rPr>
        <w:t xml:space="preserve">Risk assessment is an important aspect which helps in determining essential elements to consider as a forensic psychologist to make better decisions. The key factors to consider when assessing the risk of an offender within a given context include the type of offender, the kind of crime committed and the progress the offender is making. </w:t>
      </w:r>
      <w:r w:rsidR="00422DF7">
        <w:rPr>
          <w:lang w:val="en-US"/>
        </w:rPr>
        <w:t>Reintegration</w:t>
      </w:r>
      <w:r>
        <w:rPr>
          <w:lang w:val="en-US"/>
        </w:rPr>
        <w:t xml:space="preserve"> into society is based on the progress that the offender makes based on the underlying interventions within the criminal justice system (</w:t>
      </w:r>
      <w:r w:rsidRPr="005F18E4">
        <w:t>Constantinou</w:t>
      </w:r>
      <w:r>
        <w:rPr>
          <w:lang w:val="en-US"/>
        </w:rPr>
        <w:t xml:space="preserve"> et al., 2015).</w:t>
      </w:r>
    </w:p>
    <w:p w14:paraId="1662B73E" w14:textId="1B71B8C7" w:rsidR="00096341" w:rsidRDefault="00A77ADB" w:rsidP="005F18E4">
      <w:pPr>
        <w:spacing w:line="480" w:lineRule="auto"/>
        <w:ind w:firstLine="720"/>
        <w:jc w:val="both"/>
        <w:rPr>
          <w:lang w:val="en-US"/>
        </w:rPr>
      </w:pPr>
      <w:r>
        <w:rPr>
          <w:lang w:val="en-US"/>
        </w:rPr>
        <w:t xml:space="preserve">The type of an offender, in this case, considers whether a given offender is a repaeated offender or </w:t>
      </w:r>
      <w:r w:rsidR="00977C5C">
        <w:rPr>
          <w:lang w:val="en-US"/>
        </w:rPr>
        <w:t>is a first time. The society is more tolerant to first time offender who they think can be smoothly reintegrated into the system without significant challenge. It is essential to consider these elements because they provide a firm commitment under which it will be possible to manage better outcomes</w:t>
      </w:r>
      <w:r w:rsidR="00422DF7">
        <w:rPr>
          <w:lang w:val="en-US"/>
        </w:rPr>
        <w:t xml:space="preserve"> </w:t>
      </w:r>
      <w:r w:rsidR="00422DF7" w:rsidRPr="00422DF7">
        <w:rPr>
          <w:lang w:val="en-US"/>
        </w:rPr>
        <w:t xml:space="preserve"> (</w:t>
      </w:r>
      <w:r w:rsidR="00422DF7" w:rsidRPr="00422DF7">
        <w:t xml:space="preserve">Shepherd &amp; Lewis-Fernandez, 2016). </w:t>
      </w:r>
      <w:r w:rsidR="00422DF7" w:rsidRPr="00422DF7">
        <w:rPr>
          <w:lang w:val="en-US"/>
        </w:rPr>
        <w:t xml:space="preserve"> </w:t>
      </w:r>
    </w:p>
    <w:p w14:paraId="01C70E02" w14:textId="54695CF3" w:rsidR="00977C5C" w:rsidRDefault="00A77ADB" w:rsidP="005F18E4">
      <w:pPr>
        <w:spacing w:line="480" w:lineRule="auto"/>
        <w:ind w:firstLine="720"/>
        <w:jc w:val="both"/>
        <w:rPr>
          <w:lang w:val="en-US"/>
        </w:rPr>
      </w:pPr>
      <w:r>
        <w:rPr>
          <w:lang w:val="en-US"/>
        </w:rPr>
        <w:t xml:space="preserve">The forensic psychologist has the overall mandate in determining the wellbeing of offenders based on the existing levels of </w:t>
      </w:r>
      <w:r w:rsidR="005C7DFE">
        <w:rPr>
          <w:lang w:val="en-US"/>
        </w:rPr>
        <w:t>engagement. The</w:t>
      </w:r>
      <w:r>
        <w:rPr>
          <w:lang w:val="en-US"/>
        </w:rPr>
        <w:t xml:space="preserve"> outcome of the forensic psychologist decision is binding within the court since they have a strong legal bearing in determination of the cases. These concepts are essential in creating a strong commitment under which it is possible to achieve more significant outcomes. Thus the evaluation of a given situation </w:t>
      </w:r>
      <w:r w:rsidR="005C7DFE">
        <w:rPr>
          <w:lang w:val="en-US"/>
        </w:rPr>
        <w:t>must</w:t>
      </w:r>
      <w:r>
        <w:rPr>
          <w:lang w:val="en-US"/>
        </w:rPr>
        <w:t xml:space="preserve"> be effectively determined where it is possible to manage better outcomes</w:t>
      </w:r>
      <w:r w:rsidR="00422DF7">
        <w:rPr>
          <w:lang w:val="en-US"/>
        </w:rPr>
        <w:t xml:space="preserve"> (</w:t>
      </w:r>
      <w:r w:rsidR="00422DF7" w:rsidRPr="00422DF7">
        <w:t>Brown &amp; Singh, 2014).</w:t>
      </w:r>
    </w:p>
    <w:p w14:paraId="4F4ED770" w14:textId="539AC135" w:rsidR="005F18E4" w:rsidRDefault="00A77ADB" w:rsidP="005F18E4">
      <w:pPr>
        <w:spacing w:line="480" w:lineRule="auto"/>
        <w:ind w:firstLine="720"/>
        <w:jc w:val="both"/>
        <w:rPr>
          <w:lang w:val="en-US"/>
        </w:rPr>
      </w:pPr>
      <w:r>
        <w:rPr>
          <w:lang w:val="en-US"/>
        </w:rPr>
        <w:t xml:space="preserve">The </w:t>
      </w:r>
      <w:r w:rsidRPr="00977C5C">
        <w:rPr>
          <w:lang w:val="en-US"/>
        </w:rPr>
        <w:t xml:space="preserve"> AP-LS forensic psychology specialty guidelines and APA Ethical Guidelines </w:t>
      </w:r>
      <w:r w:rsidR="00456391">
        <w:rPr>
          <w:lang w:val="en-US"/>
        </w:rPr>
        <w:t xml:space="preserve">provide a stronger understanding of significant changes which help in achieving better outcomes. The forensic psychologists within a trial process may include defense and the representative of the court to </w:t>
      </w:r>
      <w:r w:rsidR="005C7DFE">
        <w:rPr>
          <w:lang w:val="en-US"/>
        </w:rPr>
        <w:t>effectively</w:t>
      </w:r>
      <w:r w:rsidR="00456391">
        <w:rPr>
          <w:lang w:val="en-US"/>
        </w:rPr>
        <w:t xml:space="preserve"> provide different perspective under which better </w:t>
      </w:r>
      <w:r w:rsidR="00456391">
        <w:rPr>
          <w:lang w:val="en-US"/>
        </w:rPr>
        <w:lastRenderedPageBreak/>
        <w:t>decisions can be made in creating a strong focus on essential changes which help maintain better focus on the decision made</w:t>
      </w:r>
      <w:r>
        <w:rPr>
          <w:lang w:val="en-US"/>
        </w:rPr>
        <w:t xml:space="preserve"> (</w:t>
      </w:r>
      <w:r w:rsidRPr="005F18E4">
        <w:t>Brown</w:t>
      </w:r>
      <w:r w:rsidRPr="005F18E4">
        <w:rPr>
          <w:lang w:val="en-US"/>
        </w:rPr>
        <w:t xml:space="preserve"> </w:t>
      </w:r>
      <w:r w:rsidRPr="005F18E4">
        <w:t xml:space="preserve">&amp; Singh, 2014). </w:t>
      </w:r>
      <w:r w:rsidRPr="005F18E4">
        <w:rPr>
          <w:lang w:val="en-US"/>
        </w:rPr>
        <w:t xml:space="preserve"> </w:t>
      </w:r>
    </w:p>
    <w:p w14:paraId="6CB25752" w14:textId="5ECBE64C" w:rsidR="00977C5C" w:rsidRPr="00422DF7" w:rsidRDefault="00A77ADB" w:rsidP="005F18E4">
      <w:pPr>
        <w:spacing w:line="480" w:lineRule="auto"/>
        <w:ind w:firstLine="720"/>
        <w:jc w:val="both"/>
        <w:rPr>
          <w:lang w:val="en-US"/>
        </w:rPr>
      </w:pPr>
      <w:r>
        <w:rPr>
          <w:lang w:val="en-US"/>
        </w:rPr>
        <w:t>The decision that is made in this case must consider the implications of the decision made to provide a strong commitment to the underlying guidelines</w:t>
      </w:r>
      <w:r w:rsidR="00422DF7">
        <w:rPr>
          <w:lang w:val="en-US"/>
        </w:rPr>
        <w:t xml:space="preserve"> (</w:t>
      </w:r>
      <w:r w:rsidR="00422DF7" w:rsidRPr="00422DF7">
        <w:t xml:space="preserve">Shepherd &amp; Lewis-Fernandez, 2016). </w:t>
      </w:r>
      <w:r>
        <w:rPr>
          <w:lang w:val="en-US"/>
        </w:rPr>
        <w:t xml:space="preserve"> The forensic psychologist must assume a neutral position when determining a given judgment about the client situation. In situations where the psychologist feels that there is a conflict of interest, the best decision is to </w:t>
      </w:r>
      <w:r w:rsidR="005C7DFE">
        <w:rPr>
          <w:lang w:val="en-US"/>
        </w:rPr>
        <w:t>disqualify oneself from the case and allow for another qualified psychologist to be considered</w:t>
      </w:r>
      <w:r w:rsidR="00422DF7">
        <w:rPr>
          <w:lang w:val="en-US"/>
        </w:rPr>
        <w:t xml:space="preserve"> (</w:t>
      </w:r>
      <w:r w:rsidR="00422DF7" w:rsidRPr="00422DF7">
        <w:t>Constantinou</w:t>
      </w:r>
      <w:r w:rsidR="00422DF7">
        <w:rPr>
          <w:lang w:val="en-US"/>
        </w:rPr>
        <w:t xml:space="preserve"> et al., 2015).</w:t>
      </w:r>
    </w:p>
    <w:p w14:paraId="14DF578A" w14:textId="77777777" w:rsidR="005C7DFE" w:rsidRPr="005C7DFE" w:rsidRDefault="00A77ADB" w:rsidP="005F18E4">
      <w:pPr>
        <w:spacing w:line="480" w:lineRule="auto"/>
        <w:jc w:val="both"/>
        <w:rPr>
          <w:lang w:val="en-US"/>
        </w:rPr>
      </w:pPr>
      <w:r w:rsidRPr="005C7DFE">
        <w:rPr>
          <w:lang w:val="en-US"/>
        </w:rPr>
        <w:t>Explain whether there is a connection between capital punishment assessments involving a minor and society at large.</w:t>
      </w:r>
    </w:p>
    <w:p w14:paraId="4C07B5C2" w14:textId="6170BB99" w:rsidR="00977C5C" w:rsidRDefault="00A77ADB" w:rsidP="005F18E4">
      <w:pPr>
        <w:spacing w:line="480" w:lineRule="auto"/>
        <w:ind w:firstLine="720"/>
        <w:jc w:val="both"/>
        <w:rPr>
          <w:lang w:val="en-US"/>
        </w:rPr>
      </w:pPr>
      <w:r>
        <w:rPr>
          <w:lang w:val="en-US"/>
        </w:rPr>
        <w:t xml:space="preserve">Capital punishment involving a minor is assessed differently where different elements are </w:t>
      </w:r>
      <w:r w:rsidR="00422DF7">
        <w:rPr>
          <w:lang w:val="en-US"/>
        </w:rPr>
        <w:t>considered</w:t>
      </w:r>
      <w:r>
        <w:rPr>
          <w:lang w:val="en-US"/>
        </w:rPr>
        <w:t xml:space="preserve"> in determining whether a juvenile should be tried for capital offense.  The case involving a minor is first assessed under the family court where it is eva</w:t>
      </w:r>
      <w:r w:rsidR="00422DF7">
        <w:rPr>
          <w:lang w:val="en-US"/>
        </w:rPr>
        <w:t>l</w:t>
      </w:r>
      <w:r>
        <w:rPr>
          <w:lang w:val="en-US"/>
        </w:rPr>
        <w:t xml:space="preserve">uated in determining whether the minor qualifies to stand trial. The family court takes into consideration, the circumstances under which the capital offense took place, the </w:t>
      </w:r>
      <w:r w:rsidR="00422DF7">
        <w:rPr>
          <w:lang w:val="en-US"/>
        </w:rPr>
        <w:t>evaluation</w:t>
      </w:r>
      <w:r>
        <w:rPr>
          <w:lang w:val="en-US"/>
        </w:rPr>
        <w:t xml:space="preserve"> of the mental condition of the minor and the ability to stand trial</w:t>
      </w:r>
      <w:r w:rsidR="00422DF7">
        <w:rPr>
          <w:lang w:val="en-US"/>
        </w:rPr>
        <w:t xml:space="preserve"> (</w:t>
      </w:r>
      <w:r w:rsidR="00422DF7" w:rsidRPr="00422DF7">
        <w:t>Brown</w:t>
      </w:r>
      <w:r w:rsidR="00422DF7">
        <w:rPr>
          <w:lang w:val="en-US"/>
        </w:rPr>
        <w:t xml:space="preserve"> </w:t>
      </w:r>
      <w:r w:rsidR="00422DF7" w:rsidRPr="00422DF7">
        <w:t xml:space="preserve">&amp; Singh, 2014). </w:t>
      </w:r>
      <w:r>
        <w:rPr>
          <w:lang w:val="en-US"/>
        </w:rPr>
        <w:t xml:space="preserve"> The evaluation of these concepts is essential and provide a more significant commitment under which it is possible to achieve better outcomes.</w:t>
      </w:r>
      <w:r w:rsidR="00422DF7">
        <w:rPr>
          <w:lang w:val="en-US"/>
        </w:rPr>
        <w:t xml:space="preserve"> The age of the minor must also be considered in defining better focus on the wellbeing of the juvenile.</w:t>
      </w:r>
      <w:r>
        <w:rPr>
          <w:lang w:val="en-US"/>
        </w:rPr>
        <w:t xml:space="preserve"> The assessment </w:t>
      </w:r>
      <w:r w:rsidR="00422DF7">
        <w:rPr>
          <w:lang w:val="en-US"/>
        </w:rPr>
        <w:t xml:space="preserve">must entail a focus on the welfare of the </w:t>
      </w:r>
      <w:r w:rsidR="00975DF3">
        <w:rPr>
          <w:lang w:val="en-US"/>
        </w:rPr>
        <w:t>minor</w:t>
      </w:r>
      <w:r w:rsidR="00422DF7">
        <w:rPr>
          <w:lang w:val="en-US"/>
        </w:rPr>
        <w:t xml:space="preserve"> and whether the offense was unintentional.  </w:t>
      </w:r>
    </w:p>
    <w:p w14:paraId="6A308EB3" w14:textId="3CD9C69B" w:rsidR="00422DF7" w:rsidRDefault="00422DF7" w:rsidP="00422DF7">
      <w:pPr>
        <w:ind w:firstLine="720"/>
        <w:rPr>
          <w:lang w:val="en-US"/>
        </w:rPr>
      </w:pPr>
    </w:p>
    <w:p w14:paraId="09A502FA" w14:textId="1A6FDC0E" w:rsidR="00975DF3" w:rsidRDefault="00975DF3" w:rsidP="00422DF7">
      <w:pPr>
        <w:ind w:firstLine="720"/>
        <w:rPr>
          <w:lang w:val="en-US"/>
        </w:rPr>
      </w:pPr>
    </w:p>
    <w:p w14:paraId="5059D782" w14:textId="21AD6893" w:rsidR="00975DF3" w:rsidRDefault="00975DF3" w:rsidP="00422DF7">
      <w:pPr>
        <w:ind w:firstLine="720"/>
        <w:rPr>
          <w:lang w:val="en-US"/>
        </w:rPr>
      </w:pPr>
    </w:p>
    <w:p w14:paraId="14919AC8" w14:textId="77777777" w:rsidR="00975DF3" w:rsidRDefault="00975DF3" w:rsidP="00422DF7">
      <w:pPr>
        <w:ind w:firstLine="720"/>
        <w:rPr>
          <w:lang w:val="en-US"/>
        </w:rPr>
      </w:pPr>
    </w:p>
    <w:p w14:paraId="0BC0DA86" w14:textId="008C05B3" w:rsidR="00422DF7" w:rsidRDefault="00422DF7" w:rsidP="00422DF7">
      <w:pPr>
        <w:ind w:firstLine="720"/>
        <w:rPr>
          <w:lang w:val="en-US"/>
        </w:rPr>
      </w:pPr>
    </w:p>
    <w:p w14:paraId="16C34E4A" w14:textId="30EBBA28" w:rsidR="00422DF7" w:rsidRDefault="00A77ADB" w:rsidP="00975DF3">
      <w:pPr>
        <w:ind w:firstLine="720"/>
        <w:jc w:val="center"/>
        <w:rPr>
          <w:lang w:val="en-US"/>
        </w:rPr>
      </w:pPr>
      <w:r>
        <w:rPr>
          <w:lang w:val="en-US"/>
        </w:rPr>
        <w:lastRenderedPageBreak/>
        <w:t>References</w:t>
      </w:r>
    </w:p>
    <w:p w14:paraId="15D8BAC6" w14:textId="77777777" w:rsidR="00975DF3" w:rsidRDefault="00A77ADB" w:rsidP="00975DF3">
      <w:pPr>
        <w:spacing w:line="480" w:lineRule="auto"/>
        <w:ind w:left="720" w:hanging="720"/>
      </w:pPr>
      <w:r w:rsidRPr="00422DF7">
        <w:t>Brown, J., &amp; Singh, J. P. (2014). Forensic risk assessment: A beginner’s guide. </w:t>
      </w:r>
      <w:r w:rsidRPr="00422DF7">
        <w:rPr>
          <w:i/>
          <w:iCs/>
        </w:rPr>
        <w:t>Archives of Forensic Psychology</w:t>
      </w:r>
      <w:r w:rsidRPr="00422DF7">
        <w:t>, </w:t>
      </w:r>
      <w:r w:rsidRPr="00422DF7">
        <w:rPr>
          <w:i/>
          <w:iCs/>
        </w:rPr>
        <w:t>1</w:t>
      </w:r>
      <w:r w:rsidRPr="00422DF7">
        <w:t>(1), 49-59.</w:t>
      </w:r>
    </w:p>
    <w:p w14:paraId="3681EF50" w14:textId="77777777" w:rsidR="00975DF3" w:rsidRDefault="00A77ADB" w:rsidP="00975DF3">
      <w:pPr>
        <w:spacing w:line="480" w:lineRule="auto"/>
        <w:ind w:left="720" w:hanging="720"/>
      </w:pPr>
      <w:r w:rsidRPr="00422DF7">
        <w:t>Constantinou, A. C., Freestone, M., Marsh, W., &amp; Coid, J. (2015). Causal inference for violence risk management and decision support in forensic psychiatry. </w:t>
      </w:r>
      <w:r w:rsidRPr="00422DF7">
        <w:rPr>
          <w:i/>
          <w:iCs/>
        </w:rPr>
        <w:t>Decision Support Systems</w:t>
      </w:r>
      <w:r w:rsidRPr="00422DF7">
        <w:t>, </w:t>
      </w:r>
      <w:r w:rsidRPr="00422DF7">
        <w:rPr>
          <w:i/>
          <w:iCs/>
        </w:rPr>
        <w:t>80</w:t>
      </w:r>
      <w:r w:rsidRPr="00422DF7">
        <w:t>, 42-55.</w:t>
      </w:r>
    </w:p>
    <w:p w14:paraId="31C68F14" w14:textId="77777777" w:rsidR="00975DF3" w:rsidRDefault="00A77ADB" w:rsidP="00975DF3">
      <w:pPr>
        <w:spacing w:line="480" w:lineRule="auto"/>
        <w:ind w:left="720" w:hanging="720"/>
        <w:rPr>
          <w:lang w:val="en-US"/>
        </w:rPr>
      </w:pPr>
      <w:r w:rsidRPr="00422DF7">
        <w:t>Shepherd, S. M., &amp; Lewis-Fernandez, R. (2016). Forensic risk assessment and cultural diversity: Contemporary challenges and future directions. </w:t>
      </w:r>
      <w:r w:rsidRPr="00422DF7">
        <w:rPr>
          <w:i/>
          <w:iCs/>
        </w:rPr>
        <w:t>Psychology, Public Policy, and Law</w:t>
      </w:r>
      <w:r w:rsidRPr="00422DF7">
        <w:t>, </w:t>
      </w:r>
      <w:r w:rsidRPr="00422DF7">
        <w:rPr>
          <w:i/>
          <w:iCs/>
        </w:rPr>
        <w:t>22</w:t>
      </w:r>
      <w:r w:rsidRPr="00422DF7">
        <w:t>(4), 427.</w:t>
      </w:r>
    </w:p>
    <w:p w14:paraId="1F129939" w14:textId="55B57306" w:rsidR="00977C5C" w:rsidRPr="00B00DF8" w:rsidRDefault="00977C5C">
      <w:pPr>
        <w:rPr>
          <w:lang w:val="en-US"/>
        </w:rPr>
      </w:pPr>
    </w:p>
    <w:sectPr w:rsidR="00977C5C" w:rsidRPr="00B00DF8" w:rsidSect="00422DF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41ABEC" w14:textId="77777777" w:rsidR="00A874E8" w:rsidRDefault="00A874E8">
      <w:pPr>
        <w:spacing w:after="0" w:line="240" w:lineRule="auto"/>
      </w:pPr>
      <w:r>
        <w:separator/>
      </w:r>
    </w:p>
  </w:endnote>
  <w:endnote w:type="continuationSeparator" w:id="0">
    <w:p w14:paraId="58CA09B3" w14:textId="77777777" w:rsidR="00A874E8" w:rsidRDefault="00A87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AB403D" w14:textId="77777777" w:rsidR="00A874E8" w:rsidRDefault="00A874E8">
      <w:pPr>
        <w:spacing w:after="0" w:line="240" w:lineRule="auto"/>
      </w:pPr>
      <w:r>
        <w:separator/>
      </w:r>
    </w:p>
  </w:footnote>
  <w:footnote w:type="continuationSeparator" w:id="0">
    <w:p w14:paraId="3E22DB4B" w14:textId="77777777" w:rsidR="00A874E8" w:rsidRDefault="00A874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D2A54F" w14:textId="54CF1325" w:rsidR="00422DF7" w:rsidRDefault="00A77ADB">
    <w:pPr>
      <w:pStyle w:val="Header"/>
      <w:jc w:val="right"/>
    </w:pPr>
    <w:r w:rsidRPr="00422DF7">
      <w:rPr>
        <w:lang w:val="en-US"/>
      </w:rPr>
      <w:t xml:space="preserve">FORENSIC RISK MANAGEMENT </w:t>
    </w:r>
    <w:r>
      <w:rPr>
        <w:lang w:val="en-US"/>
      </w:rPr>
      <w:t xml:space="preserve">                                                                                      </w:t>
    </w:r>
    <w:sdt>
      <w:sdtPr>
        <w:id w:val="-667365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52A9E50" w14:textId="77777777" w:rsidR="00422DF7" w:rsidRDefault="00422D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BF121" w14:textId="0FC817C9" w:rsidR="00422DF7" w:rsidRDefault="00A77ADB">
    <w:pPr>
      <w:pStyle w:val="Header"/>
      <w:jc w:val="right"/>
    </w:pPr>
    <w:r>
      <w:rPr>
        <w:lang w:val="en-US"/>
      </w:rPr>
      <w:t xml:space="preserve">Running head: FORENSIC RISK MANAGEMENT                                                              </w:t>
    </w:r>
    <w:sdt>
      <w:sdtPr>
        <w:id w:val="-10550849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51BF976" w14:textId="77777777" w:rsidR="00422DF7" w:rsidRDefault="00422D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BC04A3"/>
    <w:multiLevelType w:val="multilevel"/>
    <w:tmpl w:val="10165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0NTI0sTAwMLI0NjJU0lEKTi0uzszPAykwrAUARe+LwCwAAAA="/>
  </w:docVars>
  <w:rsids>
    <w:rsidRoot w:val="00B00DF8"/>
    <w:rsid w:val="00096341"/>
    <w:rsid w:val="0028404B"/>
    <w:rsid w:val="00422DF7"/>
    <w:rsid w:val="00456391"/>
    <w:rsid w:val="005C7DFE"/>
    <w:rsid w:val="005F18E4"/>
    <w:rsid w:val="008C72D6"/>
    <w:rsid w:val="00975DF3"/>
    <w:rsid w:val="00977C5C"/>
    <w:rsid w:val="00A77ADB"/>
    <w:rsid w:val="00A874E8"/>
    <w:rsid w:val="00B00DF8"/>
    <w:rsid w:val="00CC0AB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C099A4-88C8-4CD7-9841-27BA12DBC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D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2DF7"/>
  </w:style>
  <w:style w:type="paragraph" w:styleId="Footer">
    <w:name w:val="footer"/>
    <w:basedOn w:val="Normal"/>
    <w:link w:val="FooterChar"/>
    <w:uiPriority w:val="99"/>
    <w:unhideWhenUsed/>
    <w:rsid w:val="00422D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2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2019-02-09T02:16:00Z</dcterms:created>
  <dcterms:modified xsi:type="dcterms:W3CDTF">2019-02-09T02:16:00Z</dcterms:modified>
</cp:coreProperties>
</file>